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EF752" w14:textId="77777777" w:rsidR="006F0626" w:rsidRDefault="006F0626" w:rsidP="00223876">
      <w:pPr>
        <w:pStyle w:val="Titel"/>
      </w:pPr>
    </w:p>
    <w:p w14:paraId="1F14986B" w14:textId="1FEEEBB1" w:rsidR="00223876" w:rsidRDefault="00EC2C1B" w:rsidP="00223876">
      <w:pPr>
        <w:pStyle w:val="Titel"/>
      </w:pPr>
      <w:r w:rsidRPr="00C27B2C">
        <w:rPr>
          <w:i/>
          <w:iCs/>
        </w:rPr>
        <w:t>STEM Project</w:t>
      </w:r>
      <w:r>
        <w:t xml:space="preserve">: </w:t>
      </w:r>
      <w:r w:rsidR="00223876">
        <w:t>REGLEMENT</w:t>
      </w:r>
    </w:p>
    <w:p w14:paraId="3C292841" w14:textId="44D02926" w:rsidR="00223876" w:rsidRDefault="00223876" w:rsidP="00575DFF">
      <w:r>
        <w:t>Om uw subsidieaanvraag zo snel mogelijk te laten behandelen, raden wij u aan dit reglement even door te nemen.</w:t>
      </w:r>
    </w:p>
    <w:p w14:paraId="3880E5EF" w14:textId="3986EE9A" w:rsidR="00EC2C1B" w:rsidRDefault="00EC2C1B" w:rsidP="00EC2C1B">
      <w:pPr>
        <w:pStyle w:val="Style1"/>
      </w:pPr>
      <w:r>
        <w:t>Inleiding</w:t>
      </w:r>
    </w:p>
    <w:p w14:paraId="39A4565C" w14:textId="015508D1" w:rsidR="00223876" w:rsidRDefault="00EC2C1B" w:rsidP="00575DFF">
      <w:r w:rsidRPr="00C27B2C">
        <w:t xml:space="preserve">Als Brussels Instituut voor Onderzoek en Innovatie is </w:t>
      </w:r>
      <w:r>
        <w:t xml:space="preserve">het </w:t>
      </w:r>
      <w:r w:rsidRPr="00C27B2C">
        <w:t>e</w:t>
      </w:r>
      <w:r w:rsidR="00223876" w:rsidRPr="00C27B2C">
        <w:t xml:space="preserve">en van de kerntaken van Innoviris </w:t>
      </w:r>
      <w:r w:rsidRPr="00C27B2C">
        <w:t xml:space="preserve">om </w:t>
      </w:r>
      <w:r w:rsidR="00223876" w:rsidRPr="00C27B2C">
        <w:t xml:space="preserve">kinderen, jongeren en het brede publiek </w:t>
      </w:r>
      <w:r w:rsidRPr="00C27B2C">
        <w:t xml:space="preserve">te </w:t>
      </w:r>
      <w:r w:rsidR="00223876" w:rsidRPr="00C27B2C">
        <w:t xml:space="preserve">sensibiliseren voor wetenschappen en technologie. Het doel van deze activiteiten is de promotie van wetenschappelijke cultuur en kritisch denken, maar ook de verhoging van de instroom in wetenschappelijke richtingen en beroepen, aangezien dat ook in de Brusselse context, vaak knelpuntberoepen zijn. Hierbij wordt er bijzondere aandacht besteed aan het bereiken van kwetsbare jongeren en meisjes. Om deze missie te vervullen, heeft Innoviris verschillende tools en programma’s ter beschikking. </w:t>
      </w:r>
      <w:r w:rsidR="00663FCE" w:rsidRPr="00C27B2C">
        <w:t>Voorliggend</w:t>
      </w:r>
      <w:r w:rsidR="00223876" w:rsidRPr="00C27B2C">
        <w:t xml:space="preserve"> </w:t>
      </w:r>
      <w:r w:rsidR="00223876" w:rsidRPr="00C27B2C">
        <w:rPr>
          <w:i/>
          <w:iCs/>
        </w:rPr>
        <w:t>STEM Project</w:t>
      </w:r>
      <w:r w:rsidR="00223876" w:rsidRPr="00C27B2C">
        <w:t xml:space="preserve"> </w:t>
      </w:r>
      <w:r w:rsidRPr="00C27B2C">
        <w:t xml:space="preserve">programma </w:t>
      </w:r>
      <w:r w:rsidR="00575DFF" w:rsidRPr="00C27B2C">
        <w:t>(</w:t>
      </w:r>
      <w:proofErr w:type="spellStart"/>
      <w:r w:rsidR="00575DFF" w:rsidRPr="00C27B2C">
        <w:t>Science</w:t>
      </w:r>
      <w:proofErr w:type="spellEnd"/>
      <w:r w:rsidR="00575DFF" w:rsidRPr="00C27B2C">
        <w:t xml:space="preserve">, Technology, Engineering </w:t>
      </w:r>
      <w:proofErr w:type="spellStart"/>
      <w:r w:rsidR="00575DFF" w:rsidRPr="00C27B2C">
        <w:t>and</w:t>
      </w:r>
      <w:proofErr w:type="spellEnd"/>
      <w:r w:rsidR="00575DFF" w:rsidRPr="00C27B2C">
        <w:t xml:space="preserve"> </w:t>
      </w:r>
      <w:proofErr w:type="spellStart"/>
      <w:r w:rsidR="00575DFF" w:rsidRPr="00C27B2C">
        <w:t>Mathematics</w:t>
      </w:r>
      <w:proofErr w:type="spellEnd"/>
      <w:r w:rsidR="00575DFF" w:rsidRPr="00C27B2C">
        <w:t>)</w:t>
      </w:r>
      <w:r w:rsidR="006F1257" w:rsidRPr="00C27B2C">
        <w:t xml:space="preserve"> </w:t>
      </w:r>
      <w:r w:rsidR="00223876" w:rsidRPr="00C27B2C">
        <w:t xml:space="preserve">staat het hele jaar open – er zijn dus geen vaste deadlines – en is geschikt voor projecten die </w:t>
      </w:r>
      <w:r w:rsidR="00663FCE" w:rsidRPr="00C27B2C">
        <w:t xml:space="preserve">de doelgroepen willen sensibiliseren voor </w:t>
      </w:r>
      <w:r w:rsidR="00223876" w:rsidRPr="00C27B2C">
        <w:t>een of meerdere wetenschappelijke sectoren</w:t>
      </w:r>
      <w:r w:rsidR="00663FCE" w:rsidRPr="00C27B2C">
        <w:t>.</w:t>
      </w:r>
    </w:p>
    <w:p w14:paraId="11FA1AA9" w14:textId="77777777" w:rsidR="00223876" w:rsidRPr="00B8524D" w:rsidRDefault="00223876" w:rsidP="00223876">
      <w:pPr>
        <w:spacing w:after="0" w:line="240" w:lineRule="auto"/>
      </w:pPr>
    </w:p>
    <w:p w14:paraId="466169F3" w14:textId="77777777" w:rsidR="00223876" w:rsidRDefault="00223876" w:rsidP="00223876">
      <w:pPr>
        <w:pStyle w:val="Style1"/>
      </w:pPr>
      <w:r>
        <w:t xml:space="preserve">Ontvankelijkheidscriteria voor de projecten </w:t>
      </w:r>
    </w:p>
    <w:p w14:paraId="222A6BE4" w14:textId="77777777" w:rsidR="00223876" w:rsidRDefault="00223876" w:rsidP="00223876">
      <w:pPr>
        <w:rPr>
          <w:highlight w:val="yellow"/>
        </w:rPr>
      </w:pPr>
      <w:r>
        <w:t xml:space="preserve">Om in aanmerking te komen </w:t>
      </w:r>
      <w:r>
        <w:rPr>
          <w:b/>
        </w:rPr>
        <w:t>moeten de projecten</w:t>
      </w:r>
      <w:r>
        <w:t>:</w:t>
      </w:r>
    </w:p>
    <w:p w14:paraId="5079D0C9" w14:textId="77777777" w:rsidR="00223876" w:rsidRDefault="00223876" w:rsidP="00223876">
      <w:pPr>
        <w:pStyle w:val="Lijstalinea"/>
        <w:numPr>
          <w:ilvl w:val="0"/>
          <w:numId w:val="4"/>
        </w:numPr>
      </w:pPr>
      <w:r>
        <w:t>Brusselaars aanspreken</w:t>
      </w:r>
    </w:p>
    <w:p w14:paraId="6C4B8961" w14:textId="77777777" w:rsidR="00223876" w:rsidRDefault="00223876" w:rsidP="00223876">
      <w:pPr>
        <w:pStyle w:val="Lijstalinea"/>
        <w:numPr>
          <w:ilvl w:val="0"/>
          <w:numId w:val="4"/>
        </w:numPr>
      </w:pPr>
      <w:r>
        <w:t>sensibiliseren voor wetenschap, technologie en/of innovatie via een activiteit die op de doelgroep is afgestemd</w:t>
      </w:r>
    </w:p>
    <w:p w14:paraId="28E250B1" w14:textId="77777777" w:rsidR="00223876" w:rsidRDefault="00223876" w:rsidP="00223876">
      <w:pPr>
        <w:pStyle w:val="Lijstalinea"/>
        <w:numPr>
          <w:ilvl w:val="0"/>
          <w:numId w:val="4"/>
        </w:numPr>
      </w:pPr>
      <w:r>
        <w:t>uitdrukkelijk melding maken van de methodologie, de pedagogische aanpak om de vooropgestelde doelstelling te bereiken en de verwachte impact</w:t>
      </w:r>
    </w:p>
    <w:p w14:paraId="0D3E52EC" w14:textId="77777777" w:rsidR="00223876" w:rsidRDefault="00223876" w:rsidP="00223876">
      <w:r>
        <w:t xml:space="preserve">Het project mag niet gestart zijn vóór de indiening van de aanvraag. </w:t>
      </w:r>
    </w:p>
    <w:p w14:paraId="2AFFD930" w14:textId="77777777" w:rsidR="00223876" w:rsidRDefault="00223876" w:rsidP="00223876">
      <w:r>
        <w:t xml:space="preserve">Onvolledige dossiers zullen niet worden behandeld. </w:t>
      </w:r>
    </w:p>
    <w:p w14:paraId="343BDBC8" w14:textId="77777777" w:rsidR="00223876" w:rsidRDefault="00223876" w:rsidP="00223876">
      <w:pPr>
        <w:pStyle w:val="Style1"/>
      </w:pPr>
      <w:r>
        <w:t>Ontvankelijkheidscriteria voor de projectbeheerders</w:t>
      </w:r>
    </w:p>
    <w:p w14:paraId="776B5D39" w14:textId="4FE4BEAC" w:rsidR="00223876" w:rsidRDefault="00223876" w:rsidP="00223876">
      <w:pPr>
        <w:rPr>
          <w:lang w:val="nl-BE"/>
        </w:rPr>
      </w:pPr>
      <w:r>
        <w:t xml:space="preserve">Elke structuur of entiteit met rechtspersoonlijkheid en </w:t>
      </w:r>
      <w:r>
        <w:rPr>
          <w:b/>
        </w:rPr>
        <w:t>met minstens één exploitatiezetel in het Brussels Hoofdstedelijk Gewest</w:t>
      </w:r>
      <w:r>
        <w:t xml:space="preserve"> komt in aanmerking. De aanvraag is pas ontvankelijk als ze bij Innoviris ingediend wordt door de persoon die wettelijk bevoegd is om voor de organisatie op te treden. De drager van het project moet ook alle verplichtingen zijn </w:t>
      </w:r>
      <w:r>
        <w:lastRenderedPageBreak/>
        <w:t xml:space="preserve">nagekomen die voortvloeien uit eventuele voorgaande subsidies van het </w:t>
      </w:r>
      <w:r>
        <w:rPr>
          <w:lang w:val="nl-BE"/>
        </w:rPr>
        <w:t>Gewest. De toekomstige begunstigde mag geen financiële problemen hebben</w:t>
      </w:r>
      <w:r w:rsidR="00EC2C1B">
        <w:rPr>
          <w:lang w:val="nl-BE"/>
        </w:rPr>
        <w:t xml:space="preserve"> (enkel van toepassing voor bedrijven)</w:t>
      </w:r>
      <w:r>
        <w:rPr>
          <w:lang w:val="nl-BE"/>
        </w:rPr>
        <w:t>.</w:t>
      </w:r>
    </w:p>
    <w:p w14:paraId="6CE43E2D" w14:textId="6536ABB1" w:rsidR="00223876" w:rsidRDefault="00223876" w:rsidP="00223876">
      <w:pPr>
        <w:rPr>
          <w:lang w:val="nl-BE"/>
        </w:rPr>
      </w:pPr>
      <w:r>
        <w:rPr>
          <w:lang w:val="nl-BE"/>
        </w:rPr>
        <w:t xml:space="preserve">Bij projecten met meerdere partners moet elke partner </w:t>
      </w:r>
      <w:r w:rsidR="00EC2C1B">
        <w:rPr>
          <w:lang w:val="nl-BE"/>
        </w:rPr>
        <w:t xml:space="preserve">die een financiering aanvraagt </w:t>
      </w:r>
      <w:r>
        <w:rPr>
          <w:lang w:val="nl-BE"/>
        </w:rPr>
        <w:t>aan de bovenvermelde voorwaarden voldoen.</w:t>
      </w:r>
    </w:p>
    <w:p w14:paraId="0B3248E6" w14:textId="77777777" w:rsidR="00223876" w:rsidRDefault="00223876" w:rsidP="00223876">
      <w:pPr>
        <w:pStyle w:val="Style1"/>
      </w:pPr>
      <w:r>
        <w:t>Financiering</w:t>
      </w:r>
    </w:p>
    <w:p w14:paraId="149B28F4" w14:textId="05F99F1E" w:rsidR="00EC2C1B" w:rsidRDefault="00EC2C1B" w:rsidP="00EC2C1B">
      <w:r>
        <w:t xml:space="preserve">Steun aan niet-economische actoren in het kader van deze oproep wordt </w:t>
      </w:r>
      <w:r>
        <w:t>toegekend</w:t>
      </w:r>
      <w:r>
        <w:t xml:space="preserve"> in overeenstemming met de kaderregeling inzake staatssteun voor onderzoek, ontwikkeling en innovatie (2014/C 198/01).</w:t>
      </w:r>
    </w:p>
    <w:p w14:paraId="1F12561D" w14:textId="10B1344A" w:rsidR="00223876" w:rsidRDefault="00EC2C1B" w:rsidP="00223876">
      <w:r>
        <w:t xml:space="preserve">De steun die in het kader van deze oproep aan economische actoren wordt </w:t>
      </w:r>
      <w:r>
        <w:t>toegekend</w:t>
      </w:r>
      <w:r>
        <w:t xml:space="preserve">, is de-minimissteun overeenkomstig Verordening nr. 1407/2013 van de Europese Commissie. </w:t>
      </w:r>
      <w:r w:rsidR="00223876">
        <w:t>Bijgevolg moeten de begunstigden erop letten dat de ontvangen steun het totaalbedrag van de hen reeds toegekende de-minimissteun niet doet stijgen tot boven het plafond van € 200.000 over een periode van 3 jaar, zoals opgelegd door Verordening nr. 1407/2013. Ze vullen daarvoor een verklaring op eer in die dat bevestigt.</w:t>
      </w:r>
    </w:p>
    <w:p w14:paraId="1D7E5002" w14:textId="77777777" w:rsidR="00223876" w:rsidRDefault="00223876" w:rsidP="00223876">
      <w:r>
        <w:t xml:space="preserve">De projecten zijn het voorwerp van een financiering die toelaat de hierna genoemde kosten te betalen: </w:t>
      </w:r>
    </w:p>
    <w:p w14:paraId="11D01C6B" w14:textId="77777777" w:rsidR="00223876" w:rsidRDefault="00223876" w:rsidP="00223876">
      <w:pPr>
        <w:ind w:left="709" w:hanging="425"/>
      </w:pPr>
      <w:r>
        <w:t>•</w:t>
      </w:r>
      <w:r>
        <w:tab/>
        <w:t>de lonen van het personeel</w:t>
      </w:r>
    </w:p>
    <w:p w14:paraId="77DEF77B" w14:textId="77777777" w:rsidR="00223876" w:rsidRDefault="00223876" w:rsidP="00223876">
      <w:pPr>
        <w:ind w:left="709" w:hanging="425"/>
      </w:pPr>
      <w:r>
        <w:t>•</w:t>
      </w:r>
      <w:r>
        <w:tab/>
        <w:t>de werkingskosten die rechtstreeks verbonden zijn met de uitvoering van het project</w:t>
      </w:r>
    </w:p>
    <w:p w14:paraId="3FC915E1" w14:textId="77777777" w:rsidR="00223876" w:rsidRDefault="00223876" w:rsidP="00223876">
      <w:pPr>
        <w:ind w:left="709" w:hanging="425"/>
      </w:pPr>
      <w:r>
        <w:t>•</w:t>
      </w:r>
      <w:r>
        <w:tab/>
        <w:t>de indirecte kosten (maximum 10% van de personeelskosten en werkingskosten)</w:t>
      </w:r>
    </w:p>
    <w:p w14:paraId="20593DAB" w14:textId="77777777" w:rsidR="00223876" w:rsidRDefault="00223876" w:rsidP="00223876">
      <w:pPr>
        <w:ind w:left="709" w:hanging="425"/>
      </w:pPr>
      <w:r>
        <w:t>•</w:t>
      </w:r>
      <w:r>
        <w:tab/>
        <w:t>de afschrijving van de investeringskosten</w:t>
      </w:r>
    </w:p>
    <w:p w14:paraId="1A9F964D" w14:textId="53B4296F" w:rsidR="00223876" w:rsidRDefault="00A95CCE" w:rsidP="00223876">
      <w:r w:rsidRPr="00C27B2C">
        <w:t>Wij raden u aan om onze boekhoudkundige richtlijnen</w:t>
      </w:r>
      <w:r w:rsidR="00CC5C7C" w:rsidRPr="00C27B2C">
        <w:rPr>
          <w:rStyle w:val="Voetnootmarkering"/>
        </w:rPr>
        <w:footnoteReference w:id="1"/>
      </w:r>
      <w:r w:rsidRPr="00C27B2C">
        <w:t xml:space="preserve"> door te nemen bij het opstellen van uw budget</w:t>
      </w:r>
      <w:r>
        <w:t xml:space="preserve">. </w:t>
      </w:r>
      <w:r w:rsidR="00223876">
        <w:t>Alle uitgaven moeten worden verantwoord door middel van bewijsstukken en worden goedgekeurd door Innoviris. Een besluit en een subsidieovereenkomst leggen de betalingsvoorwaarden vast.</w:t>
      </w:r>
    </w:p>
    <w:p w14:paraId="7755BEE4" w14:textId="77777777" w:rsidR="00223876" w:rsidRDefault="00223876" w:rsidP="00223876">
      <w:pPr>
        <w:pStyle w:val="Style1"/>
      </w:pPr>
      <w:r>
        <w:t>Indiening van de projecten</w:t>
      </w:r>
    </w:p>
    <w:p w14:paraId="2F893680" w14:textId="77777777" w:rsidR="00223876" w:rsidRPr="00C27B2C" w:rsidRDefault="00223876" w:rsidP="00223876">
      <w:pPr>
        <w:rPr>
          <w:bCs/>
        </w:rPr>
      </w:pPr>
      <w:r w:rsidRPr="00C27B2C">
        <w:rPr>
          <w:bCs/>
        </w:rPr>
        <w:t>De aanvragen moeten worden opgesteld aan de hand van dit formulier.</w:t>
      </w:r>
    </w:p>
    <w:p w14:paraId="3DFCA823" w14:textId="77777777" w:rsidR="00223876" w:rsidRDefault="00223876" w:rsidP="00223876">
      <w:r>
        <w:t>Het aanvraagformulier en de bijlagen moeten aan Innoviris worden bezorgd, op één van onderstaande manieren:</w:t>
      </w:r>
    </w:p>
    <w:p w14:paraId="20CB262D" w14:textId="77777777" w:rsidR="00223876" w:rsidRDefault="00223876" w:rsidP="00223876">
      <w:pPr>
        <w:pStyle w:val="Lijstalinea1"/>
        <w:numPr>
          <w:ilvl w:val="0"/>
          <w:numId w:val="2"/>
        </w:numPr>
        <w:spacing w:line="280" w:lineRule="auto"/>
        <w:jc w:val="both"/>
        <w:rPr>
          <w:sz w:val="24"/>
          <w:szCs w:val="24"/>
        </w:rPr>
      </w:pPr>
      <w:r>
        <w:rPr>
          <w:sz w:val="24"/>
          <w:szCs w:val="24"/>
        </w:rPr>
        <w:lastRenderedPageBreak/>
        <w:t xml:space="preserve">enkel voor projecten met een enkele begunstigde: 1 </w:t>
      </w:r>
      <w:r>
        <w:rPr>
          <w:sz w:val="24"/>
          <w:szCs w:val="24"/>
          <w:u w:val="single"/>
        </w:rPr>
        <w:t>exemplaar online</w:t>
      </w:r>
      <w:r>
        <w:rPr>
          <w:sz w:val="24"/>
          <w:szCs w:val="24"/>
        </w:rPr>
        <w:t xml:space="preserve"> indienen via het gewestelijk platform </w:t>
      </w:r>
      <w:proofErr w:type="spellStart"/>
      <w:r>
        <w:rPr>
          <w:sz w:val="24"/>
          <w:szCs w:val="24"/>
        </w:rPr>
        <w:t>IRISbox</w:t>
      </w:r>
      <w:proofErr w:type="spellEnd"/>
    </w:p>
    <w:p w14:paraId="2C844F8F" w14:textId="77777777" w:rsidR="00223876" w:rsidRDefault="00223876" w:rsidP="00223876">
      <w:pPr>
        <w:pStyle w:val="Lijstalinea1"/>
        <w:numPr>
          <w:ilvl w:val="0"/>
          <w:numId w:val="2"/>
        </w:numPr>
        <w:spacing w:line="280" w:lineRule="auto"/>
        <w:jc w:val="both"/>
        <w:rPr>
          <w:sz w:val="24"/>
          <w:szCs w:val="24"/>
        </w:rPr>
      </w:pPr>
      <w:r>
        <w:rPr>
          <w:sz w:val="24"/>
        </w:rPr>
        <w:t xml:space="preserve">1 </w:t>
      </w:r>
      <w:r>
        <w:rPr>
          <w:sz w:val="24"/>
          <w:szCs w:val="24"/>
          <w:u w:val="single"/>
        </w:rPr>
        <w:t>elektronisch exemplaar</w:t>
      </w:r>
      <w:r>
        <w:rPr>
          <w:sz w:val="24"/>
        </w:rPr>
        <w:t xml:space="preserve"> in pdf- of </w:t>
      </w:r>
      <w:proofErr w:type="spellStart"/>
      <w:r>
        <w:rPr>
          <w:sz w:val="24"/>
        </w:rPr>
        <w:t>doc</w:t>
      </w:r>
      <w:proofErr w:type="spellEnd"/>
      <w:r>
        <w:rPr>
          <w:sz w:val="24"/>
        </w:rPr>
        <w:t xml:space="preserve">-formaat te versturen naar </w:t>
      </w:r>
      <w:hyperlink r:id="rId8" w:tooltip="mailto:funding-request@innoviris.brussels" w:history="1">
        <w:r>
          <w:rPr>
            <w:rStyle w:val="Hyperlink"/>
            <w:sz w:val="24"/>
          </w:rPr>
          <w:t>funding-request@innoviris.brussels</w:t>
        </w:r>
      </w:hyperlink>
      <w:r>
        <w:rPr>
          <w:sz w:val="24"/>
        </w:rPr>
        <w:t xml:space="preserve">. </w:t>
      </w:r>
    </w:p>
    <w:p w14:paraId="6AECF82A" w14:textId="77777777" w:rsidR="00223876" w:rsidRDefault="00223876" w:rsidP="00223876">
      <w:r>
        <w:t>Indien het niet mogelijk is om het formulier digitaal in te dienen, kan het naar Innoviris worden gestuurd op het volgende adres:</w:t>
      </w:r>
    </w:p>
    <w:p w14:paraId="1FF94D95" w14:textId="77777777" w:rsidR="00223876" w:rsidRDefault="00223876" w:rsidP="00223876">
      <w:pPr>
        <w:pStyle w:val="Lijstalinea1"/>
        <w:spacing w:after="0" w:line="280" w:lineRule="auto"/>
        <w:jc w:val="both"/>
      </w:pPr>
      <w:r>
        <w:rPr>
          <w:sz w:val="24"/>
          <w:szCs w:val="24"/>
        </w:rPr>
        <w:t xml:space="preserve">Innoviris - </w:t>
      </w:r>
      <w:r>
        <w:t>Dienst Wetenschapspromotie</w:t>
      </w:r>
    </w:p>
    <w:p w14:paraId="3A221D61" w14:textId="77777777" w:rsidR="00223876" w:rsidRDefault="00223876" w:rsidP="00223876">
      <w:pPr>
        <w:pStyle w:val="Lijstalinea"/>
        <w:spacing w:after="0" w:line="240" w:lineRule="auto"/>
        <w:rPr>
          <w:rFonts w:cs="Verdana"/>
        </w:rPr>
      </w:pPr>
      <w:proofErr w:type="spellStart"/>
      <w:r>
        <w:t>Charleroisesteenweg</w:t>
      </w:r>
      <w:proofErr w:type="spellEnd"/>
      <w:r>
        <w:t xml:space="preserve"> 112</w:t>
      </w:r>
    </w:p>
    <w:p w14:paraId="49CDDA52" w14:textId="77777777" w:rsidR="00223876" w:rsidRDefault="00223876" w:rsidP="00223876">
      <w:pPr>
        <w:pStyle w:val="Lijstalinea1"/>
        <w:spacing w:after="0" w:line="280" w:lineRule="auto"/>
        <w:jc w:val="both"/>
        <w:rPr>
          <w:sz w:val="24"/>
          <w:szCs w:val="24"/>
        </w:rPr>
      </w:pPr>
      <w:r>
        <w:rPr>
          <w:sz w:val="24"/>
          <w:szCs w:val="24"/>
        </w:rPr>
        <w:t>1060 Brussel</w:t>
      </w:r>
    </w:p>
    <w:p w14:paraId="793D4B96" w14:textId="77777777" w:rsidR="00223876" w:rsidRDefault="00223876" w:rsidP="00223876">
      <w:r>
        <w:t>Na ontvangst van je aanvraag krijg je van Innoviris een ontvangstbevestiging binnen de 5 dagen na indiening van de aanvraag.</w:t>
      </w:r>
    </w:p>
    <w:p w14:paraId="3F89A47D" w14:textId="77777777" w:rsidR="00223876" w:rsidRDefault="00223876" w:rsidP="00223876">
      <w:pPr>
        <w:pStyle w:val="Style1"/>
      </w:pPr>
      <w:r>
        <w:t>Evaluatiecriteria</w:t>
      </w:r>
    </w:p>
    <w:p w14:paraId="1E7837F0" w14:textId="77777777" w:rsidR="00223876" w:rsidRDefault="00223876" w:rsidP="00223876">
      <w:r>
        <w:t>De evaluatiecriteria zijn:</w:t>
      </w:r>
    </w:p>
    <w:p w14:paraId="6090E35A" w14:textId="77777777" w:rsidR="00663FCE" w:rsidRPr="00C27B2C" w:rsidRDefault="00663FCE" w:rsidP="00663FCE">
      <w:pPr>
        <w:pStyle w:val="Lijstalinea"/>
        <w:numPr>
          <w:ilvl w:val="0"/>
          <w:numId w:val="3"/>
        </w:numPr>
      </w:pPr>
      <w:r w:rsidRPr="00C27B2C">
        <w:t xml:space="preserve">het innovatief karakter of de wetenschappelijke kwaliteit van het project voor de sensibilisering, promotie of vulgarisering van wetenschappen en innovatie ; </w:t>
      </w:r>
    </w:p>
    <w:p w14:paraId="316EE54A" w14:textId="77777777" w:rsidR="00663FCE" w:rsidRPr="00C27B2C" w:rsidRDefault="00663FCE" w:rsidP="00663FCE">
      <w:pPr>
        <w:pStyle w:val="Lijstalinea"/>
        <w:numPr>
          <w:ilvl w:val="0"/>
          <w:numId w:val="3"/>
        </w:numPr>
      </w:pPr>
      <w:r w:rsidRPr="00C27B2C">
        <w:t xml:space="preserve"> desgevallend, het creatief en ludiek karakter van de voorgestelde activiteiten ;</w:t>
      </w:r>
    </w:p>
    <w:p w14:paraId="065F0973" w14:textId="0F703C36" w:rsidR="00663FCE" w:rsidRPr="00C27B2C" w:rsidRDefault="00663FCE" w:rsidP="00663FCE">
      <w:pPr>
        <w:pStyle w:val="Lijstalinea"/>
        <w:numPr>
          <w:ilvl w:val="0"/>
          <w:numId w:val="3"/>
        </w:numPr>
      </w:pPr>
      <w:r w:rsidRPr="00C27B2C">
        <w:t>de kwaliteit en de beroepservaring van het personeel van de kandiderende onderneming, evenals de kwaliteit van de wetenschappelijke, technische en functionele omkadering van het project ;</w:t>
      </w:r>
    </w:p>
    <w:p w14:paraId="06FA31C9" w14:textId="28DBB30A" w:rsidR="00663FCE" w:rsidRPr="00C27B2C" w:rsidRDefault="00663FCE" w:rsidP="00663FCE">
      <w:pPr>
        <w:pStyle w:val="Lijstalinea"/>
        <w:numPr>
          <w:ilvl w:val="0"/>
          <w:numId w:val="3"/>
        </w:numPr>
      </w:pPr>
      <w:r w:rsidRPr="00C27B2C">
        <w:t xml:space="preserve">de afstemming van de middelen op het project ; </w:t>
      </w:r>
    </w:p>
    <w:p w14:paraId="4754978E" w14:textId="6E8614DF" w:rsidR="00663FCE" w:rsidRPr="00C27B2C" w:rsidRDefault="00663FCE" w:rsidP="00663FCE">
      <w:pPr>
        <w:pStyle w:val="Lijstalinea"/>
        <w:numPr>
          <w:ilvl w:val="0"/>
          <w:numId w:val="3"/>
        </w:numPr>
      </w:pPr>
      <w:r w:rsidRPr="00C27B2C">
        <w:t xml:space="preserve">de kwaliteit van een eventueel partnerschap met een wetenschappelijke actor ; </w:t>
      </w:r>
    </w:p>
    <w:p w14:paraId="1346EA85" w14:textId="531BD9F9" w:rsidR="00663FCE" w:rsidRPr="00C27B2C" w:rsidRDefault="00663FCE" w:rsidP="00663FCE">
      <w:pPr>
        <w:pStyle w:val="Lijstalinea"/>
        <w:numPr>
          <w:ilvl w:val="0"/>
          <w:numId w:val="3"/>
        </w:numPr>
      </w:pPr>
      <w:r w:rsidRPr="00C27B2C">
        <w:t xml:space="preserve">de impact van het project op het kwantitatief en kwalitatief beoogde publiek ; </w:t>
      </w:r>
    </w:p>
    <w:p w14:paraId="38CF2D7F" w14:textId="7F113B46" w:rsidR="00663FCE" w:rsidRPr="00C27B2C" w:rsidRDefault="00663FCE" w:rsidP="00663FCE">
      <w:pPr>
        <w:pStyle w:val="Lijstalinea"/>
        <w:numPr>
          <w:ilvl w:val="0"/>
          <w:numId w:val="3"/>
        </w:numPr>
      </w:pPr>
      <w:r w:rsidRPr="00C27B2C">
        <w:t>de economische en/of maatschappelijke impact van het project voor het Gewest</w:t>
      </w:r>
    </w:p>
    <w:p w14:paraId="4686B496" w14:textId="415D7145" w:rsidR="00223876" w:rsidRPr="00C27B2C" w:rsidRDefault="00223876" w:rsidP="00663FCE">
      <w:pPr>
        <w:pStyle w:val="Lijstalinea"/>
        <w:numPr>
          <w:ilvl w:val="0"/>
          <w:numId w:val="3"/>
        </w:numPr>
      </w:pPr>
      <w:r w:rsidRPr="00C27B2C">
        <w:t>de inspanningen van de promotoren om gelijkheid van kansen en sensibilisering van achtergestelde groepen te bevorderen</w:t>
      </w:r>
    </w:p>
    <w:p w14:paraId="38CAA60D" w14:textId="3DC125F5" w:rsidR="00223876" w:rsidRDefault="00223876" w:rsidP="00223876">
      <w:pPr>
        <w:rPr>
          <w:rFonts w:cs="Verdana"/>
        </w:rPr>
      </w:pPr>
      <w:r>
        <w:t xml:space="preserve">Als je dossier </w:t>
      </w:r>
      <w:r w:rsidR="00575DFF">
        <w:t>goedgekeurd</w:t>
      </w:r>
      <w:r>
        <w:t xml:space="preserve"> wordt, ontvang je een overeenkomst van Innoviris voor ondertekening.</w:t>
      </w:r>
    </w:p>
    <w:p w14:paraId="1C36DC69" w14:textId="01B29BC3" w:rsidR="00575DFF" w:rsidRPr="00C27B2C" w:rsidRDefault="00575DFF" w:rsidP="00223876">
      <w:pPr>
        <w:pStyle w:val="Style1"/>
      </w:pPr>
      <w:r w:rsidRPr="00C27B2C">
        <w:t>Overeenkomst en besluit</w:t>
      </w:r>
    </w:p>
    <w:p w14:paraId="3C0E39AB" w14:textId="5A6C2372" w:rsidR="00575DFF" w:rsidRPr="00C27B2C" w:rsidRDefault="00575DFF" w:rsidP="00575DFF">
      <w:r w:rsidRPr="00C27B2C">
        <w:t xml:space="preserve">Omdat Innoviris zoveel mogelijk digitaal wil werken, zullen de overeenkomst en het besluit via </w:t>
      </w:r>
      <w:proofErr w:type="spellStart"/>
      <w:r w:rsidRPr="00C27B2C">
        <w:t>SignHere</w:t>
      </w:r>
      <w:proofErr w:type="spellEnd"/>
      <w:r w:rsidRPr="00C27B2C">
        <w:t xml:space="preserve"> naar uw emailadres worden gestuurd. Het is daarom belangrijk om een adres op te geven dat u of een van uw medewerkers geregeld controleert. Hier vindt u meer uitleg over de procedure:</w:t>
      </w:r>
    </w:p>
    <w:p w14:paraId="2D3D2245" w14:textId="4F1487D8" w:rsidR="00575DFF" w:rsidRPr="00C27B2C" w:rsidRDefault="00575DFF" w:rsidP="00575DFF">
      <w:pPr>
        <w:rPr>
          <w:lang w:val="nl-BE"/>
        </w:rPr>
      </w:pPr>
      <w:proofErr w:type="spellStart"/>
      <w:r w:rsidRPr="00C27B2C">
        <w:rPr>
          <w:lang w:val="nl-BE"/>
        </w:rPr>
        <w:t>SignHere</w:t>
      </w:r>
      <w:proofErr w:type="spellEnd"/>
      <w:r w:rsidRPr="00C27B2C">
        <w:rPr>
          <w:lang w:val="nl-BE"/>
        </w:rPr>
        <w:t xml:space="preserve"> is een op Europees niveau door EIDAS erkend systeem voor elektronische handtekeningen en de referentie op het gebied van elektronische handtekeningen.</w:t>
      </w:r>
    </w:p>
    <w:p w14:paraId="1D5874CE" w14:textId="20832416" w:rsidR="00575DFF" w:rsidRPr="00C27B2C" w:rsidRDefault="00575DFF" w:rsidP="00575DFF">
      <w:pPr>
        <w:rPr>
          <w:lang w:val="nl-BE"/>
        </w:rPr>
      </w:pPr>
      <w:r w:rsidRPr="00C27B2C">
        <w:rPr>
          <w:lang w:val="nl-BE"/>
        </w:rPr>
        <w:lastRenderedPageBreak/>
        <w:t xml:space="preserve">Bij goedkeuring van je dossier, ontvang je de te ondertekenen overeenkomsten per e-mail via </w:t>
      </w:r>
      <w:proofErr w:type="spellStart"/>
      <w:r w:rsidRPr="00C27B2C">
        <w:rPr>
          <w:lang w:val="nl-BE"/>
        </w:rPr>
        <w:t>SignHere</w:t>
      </w:r>
      <w:proofErr w:type="spellEnd"/>
      <w:r w:rsidRPr="00C27B2C">
        <w:rPr>
          <w:lang w:val="nl-BE"/>
        </w:rPr>
        <w:t xml:space="preserve">. </w:t>
      </w:r>
    </w:p>
    <w:p w14:paraId="6585BE1A" w14:textId="77777777" w:rsidR="00575DFF" w:rsidRPr="00C27B2C" w:rsidRDefault="00575DFF" w:rsidP="00575DFF">
      <w:pPr>
        <w:rPr>
          <w:lang w:val="nl-BE"/>
        </w:rPr>
      </w:pPr>
      <w:r w:rsidRPr="00C27B2C">
        <w:rPr>
          <w:lang w:val="nl-BE"/>
        </w:rPr>
        <w:t>Het systeem wordt zo geconfigureerd dat je kan kiezen tussen:</w:t>
      </w:r>
    </w:p>
    <w:p w14:paraId="56DADF49" w14:textId="77777777" w:rsidR="00575DFF" w:rsidRPr="00C27B2C" w:rsidRDefault="00575DFF" w:rsidP="00575DFF">
      <w:pPr>
        <w:rPr>
          <w:lang w:val="nl-BE"/>
        </w:rPr>
      </w:pPr>
      <w:r w:rsidRPr="00C27B2C">
        <w:rPr>
          <w:lang w:val="nl-BE"/>
        </w:rPr>
        <w:t>- ondertekenen met validatie via code die je via e-mail hebt ontvangen</w:t>
      </w:r>
    </w:p>
    <w:p w14:paraId="25B4C651" w14:textId="77777777" w:rsidR="00575DFF" w:rsidRPr="00C27B2C" w:rsidRDefault="00575DFF" w:rsidP="00575DFF">
      <w:pPr>
        <w:rPr>
          <w:lang w:val="nl-BE"/>
        </w:rPr>
      </w:pPr>
      <w:r w:rsidRPr="00C27B2C">
        <w:rPr>
          <w:lang w:val="nl-BE"/>
        </w:rPr>
        <w:t xml:space="preserve">- ondertekenen met de </w:t>
      </w:r>
      <w:proofErr w:type="spellStart"/>
      <w:r w:rsidRPr="00C27B2C">
        <w:rPr>
          <w:lang w:val="nl-BE"/>
        </w:rPr>
        <w:t>Itsme</w:t>
      </w:r>
      <w:proofErr w:type="spellEnd"/>
      <w:r w:rsidRPr="00C27B2C">
        <w:rPr>
          <w:lang w:val="nl-BE"/>
        </w:rPr>
        <w:t>-applicatie</w:t>
      </w:r>
    </w:p>
    <w:p w14:paraId="2328E041" w14:textId="77777777" w:rsidR="00575DFF" w:rsidRPr="00C27B2C" w:rsidRDefault="00575DFF" w:rsidP="00575DFF">
      <w:pPr>
        <w:rPr>
          <w:lang w:val="nl-BE"/>
        </w:rPr>
      </w:pPr>
      <w:r w:rsidRPr="00C27B2C">
        <w:rPr>
          <w:lang w:val="nl-BE"/>
        </w:rPr>
        <w:t xml:space="preserve">- ondertekenen met </w:t>
      </w:r>
      <w:proofErr w:type="spellStart"/>
      <w:r w:rsidRPr="00C27B2C">
        <w:rPr>
          <w:lang w:val="nl-BE"/>
        </w:rPr>
        <w:t>eID</w:t>
      </w:r>
      <w:proofErr w:type="spellEnd"/>
      <w:r w:rsidRPr="00C27B2C">
        <w:rPr>
          <w:lang w:val="nl-BE"/>
        </w:rPr>
        <w:t xml:space="preserve"> kaartlezer</w:t>
      </w:r>
    </w:p>
    <w:p w14:paraId="722FD462" w14:textId="0F622485" w:rsidR="00575DFF" w:rsidRPr="00C27B2C" w:rsidRDefault="00575DFF" w:rsidP="00575DFF">
      <w:pPr>
        <w:rPr>
          <w:lang w:val="nl-BE"/>
        </w:rPr>
      </w:pPr>
      <w:r w:rsidRPr="00C27B2C">
        <w:rPr>
          <w:lang w:val="nl-BE"/>
        </w:rPr>
        <w:t>Wij sturen je de te ondertekenen overeenkomsten via mail. Indien de ontvanger het document niet kan ondertekenen, kan hij het heel eenvoudig toewijzen aan iemand die bevoegd is voor de ondertekening.</w:t>
      </w:r>
    </w:p>
    <w:p w14:paraId="2FF3AB57" w14:textId="77777777" w:rsidR="00575DFF" w:rsidRPr="00C27B2C" w:rsidRDefault="00575DFF" w:rsidP="00575DFF">
      <w:pPr>
        <w:rPr>
          <w:lang w:val="nl-BE"/>
        </w:rPr>
      </w:pPr>
      <w:r w:rsidRPr="00C27B2C">
        <w:rPr>
          <w:lang w:val="nl-BE"/>
        </w:rPr>
        <w:t xml:space="preserve">We kunnen, indien nodig, het </w:t>
      </w:r>
      <w:r w:rsidRPr="00C27B2C">
        <w:rPr>
          <w:u w:val="single"/>
          <w:lang w:val="nl-BE"/>
        </w:rPr>
        <w:t>e-mailadres</w:t>
      </w:r>
      <w:r w:rsidRPr="00C27B2C">
        <w:rPr>
          <w:lang w:val="nl-BE"/>
        </w:rPr>
        <w:t xml:space="preserve"> van een ontvanger toevoegen. Deze ontvanger kan het document niet bewerken, maar wel downloaden. Hij/zal een melding ontvangen wanneer alle partijen het document hebben ondertekend.</w:t>
      </w:r>
    </w:p>
    <w:p w14:paraId="3200E646" w14:textId="77777777" w:rsidR="00575DFF" w:rsidRPr="00C27B2C" w:rsidRDefault="00575DFF" w:rsidP="00575DFF">
      <w:pPr>
        <w:rPr>
          <w:lang w:val="nl-BE"/>
        </w:rPr>
      </w:pPr>
      <w:r w:rsidRPr="00C27B2C">
        <w:rPr>
          <w:lang w:val="nl-BE"/>
        </w:rPr>
        <w:t xml:space="preserve">Om veiligheidsredenen kunnen links niet worden doorgestuurd en vervallen ze na opening. Je kan dus gewoon vragen om een nieuwe link te sturen. </w:t>
      </w:r>
    </w:p>
    <w:p w14:paraId="76A1D710" w14:textId="0198A07D" w:rsidR="00575DFF" w:rsidRPr="00C27B2C" w:rsidRDefault="00575DFF" w:rsidP="00575DFF">
      <w:pPr>
        <w:rPr>
          <w:lang w:val="nl-BE"/>
        </w:rPr>
      </w:pPr>
      <w:r w:rsidRPr="00C27B2C">
        <w:rPr>
          <w:lang w:val="nl-BE"/>
        </w:rPr>
        <w:t>Om een snelle verwerking van je aanvraag te garanderen, heb je tijdens de sluitingsperiode (</w:t>
      </w:r>
      <w:r w:rsidRPr="00C27B2C">
        <w:rPr>
          <w:b/>
          <w:bCs/>
          <w:lang w:val="nl-BE"/>
        </w:rPr>
        <w:t>maximaal</w:t>
      </w:r>
      <w:r w:rsidRPr="00C27B2C">
        <w:rPr>
          <w:lang w:val="nl-BE"/>
        </w:rPr>
        <w:t xml:space="preserve">) 2 weken de tijd om de documenten te ondertekenen en een maand voor de rest van het jaar. </w:t>
      </w:r>
    </w:p>
    <w:p w14:paraId="7E9A6566" w14:textId="0807543A" w:rsidR="00223876" w:rsidRPr="00C27B2C" w:rsidRDefault="00223876" w:rsidP="00223876">
      <w:pPr>
        <w:pStyle w:val="Style1"/>
      </w:pPr>
      <w:r w:rsidRPr="00C27B2C">
        <w:t>Rapportering</w:t>
      </w:r>
    </w:p>
    <w:p w14:paraId="15D0D851" w14:textId="708C3BA2" w:rsidR="00575DFF" w:rsidRPr="00C27B2C" w:rsidRDefault="00223876" w:rsidP="00223876">
      <w:pPr>
        <w:rPr>
          <w:lang w:val="nl-BE"/>
        </w:rPr>
      </w:pPr>
      <w:r w:rsidRPr="00C27B2C">
        <w:rPr>
          <w:lang w:val="nl-BE"/>
        </w:rPr>
        <w:t xml:space="preserve">We wijzen ook op het belang van de verantwoordingsstukken die wij moeten ontvangen nadat de actie gerealiseerd is: een activiteitenverslag (u vindt een sjabloon op onze website </w:t>
      </w:r>
      <w:r w:rsidR="00C27B2C">
        <w:rPr>
          <w:lang w:val="nl-BE"/>
        </w:rPr>
        <w:t xml:space="preserve">op de pagina STEM project van onze website </w:t>
      </w:r>
      <w:r w:rsidRPr="00C27B2C">
        <w:rPr>
          <w:lang w:val="nl-BE"/>
        </w:rPr>
        <w:t>www.innoviris.brussels), de begroting van ontvangsten en uitgaven</w:t>
      </w:r>
      <w:r w:rsidR="00575DFF" w:rsidRPr="00C27B2C">
        <w:rPr>
          <w:lang w:val="nl-BE"/>
        </w:rPr>
        <w:t xml:space="preserve"> (financieel verslag)</w:t>
      </w:r>
      <w:r w:rsidRPr="00C27B2C">
        <w:rPr>
          <w:lang w:val="nl-BE"/>
        </w:rPr>
        <w:t xml:space="preserve">, alsook de facturen om de verrichte uitgaven te staven. Het activiteitenverslag </w:t>
      </w:r>
      <w:r w:rsidR="00575DFF" w:rsidRPr="00C27B2C">
        <w:rPr>
          <w:lang w:val="nl-BE"/>
        </w:rPr>
        <w:t xml:space="preserve">en het financieel verslag </w:t>
      </w:r>
      <w:r w:rsidRPr="00C27B2C">
        <w:rPr>
          <w:lang w:val="nl-BE"/>
        </w:rPr>
        <w:t>moet</w:t>
      </w:r>
      <w:r w:rsidR="00575DFF" w:rsidRPr="00C27B2C">
        <w:rPr>
          <w:lang w:val="nl-BE"/>
        </w:rPr>
        <w:t>en</w:t>
      </w:r>
      <w:r w:rsidRPr="00C27B2C">
        <w:rPr>
          <w:lang w:val="nl-BE"/>
        </w:rPr>
        <w:t xml:space="preserve"> verstuurd worden naar </w:t>
      </w:r>
      <w:hyperlink r:id="rId9" w:history="1">
        <w:r w:rsidRPr="00C27B2C">
          <w:rPr>
            <w:rStyle w:val="Hyperlink"/>
            <w:lang w:val="nl-BE"/>
          </w:rPr>
          <w:t>reporting@innoviris.brussels</w:t>
        </w:r>
      </w:hyperlink>
      <w:r w:rsidRPr="00C27B2C">
        <w:rPr>
          <w:lang w:val="nl-BE"/>
        </w:rPr>
        <w:t xml:space="preserve">. </w:t>
      </w:r>
      <w:r w:rsidR="00575DFF" w:rsidRPr="00C27B2C">
        <w:rPr>
          <w:lang w:val="nl-BE"/>
        </w:rPr>
        <w:t>De schuldvorderingen moeten gestuurd worden naar</w:t>
      </w:r>
      <w:r w:rsidRPr="00C27B2C">
        <w:rPr>
          <w:lang w:val="nl-BE"/>
        </w:rPr>
        <w:t xml:space="preserve"> </w:t>
      </w:r>
      <w:hyperlink r:id="rId10" w:history="1">
        <w:r w:rsidRPr="00C27B2C">
          <w:rPr>
            <w:rStyle w:val="Hyperlink"/>
            <w:lang w:val="nl-BE"/>
          </w:rPr>
          <w:t>e-invoicing@innoviris.brussels</w:t>
        </w:r>
      </w:hyperlink>
      <w:r w:rsidRPr="00C27B2C">
        <w:rPr>
          <w:lang w:val="nl-BE"/>
        </w:rPr>
        <w:t xml:space="preserve">. </w:t>
      </w:r>
    </w:p>
    <w:p w14:paraId="23A8538B" w14:textId="49066801" w:rsidR="00223876" w:rsidRDefault="00223876" w:rsidP="00223876">
      <w:r w:rsidRPr="00C27B2C">
        <w:rPr>
          <w:lang w:val="nl-BE"/>
        </w:rPr>
        <w:t>In de overeenkomst wordt vastgelegd welke verslagen wanneer nodig zijn om de uitbetaling van de volgende schijf mogelijk te maken.</w:t>
      </w:r>
      <w:r>
        <w:rPr>
          <w:lang w:val="nl-BE"/>
        </w:rPr>
        <w:t xml:space="preserve"> </w:t>
      </w:r>
    </w:p>
    <w:p w14:paraId="69FB7DDF" w14:textId="77777777" w:rsidR="00223876" w:rsidRDefault="00223876" w:rsidP="00223876">
      <w:pPr>
        <w:pStyle w:val="Style1"/>
        <w:numPr>
          <w:ilvl w:val="0"/>
          <w:numId w:val="0"/>
        </w:numPr>
      </w:pPr>
    </w:p>
    <w:p w14:paraId="5151061B" w14:textId="7054C1C4" w:rsidR="00223876" w:rsidRDefault="00223876" w:rsidP="00223876">
      <w:pPr>
        <w:pStyle w:val="Style1"/>
      </w:pPr>
      <w:r>
        <w:t>Verwerking van persoonsgegevens</w:t>
      </w:r>
    </w:p>
    <w:p w14:paraId="2C641B4B" w14:textId="77777777" w:rsidR="00223876" w:rsidRDefault="00223876" w:rsidP="00223876">
      <w:r>
        <w:t xml:space="preserve">De persoonsgegevens die wij in het kader van deze programma via het onlineformulier verzamelen, worden verwerkt in overeenstemming met de Verordening (EU) 2016/679 betreffende de bescherming van natuurlijke personen in verband met de verwerking van </w:t>
      </w:r>
      <w:r>
        <w:lastRenderedPageBreak/>
        <w:t>persoonsgegevens en betreffende het vrije verkeer van die gegevens en tot intrekking van Richtlijn 95/46/EG (algemene verordening gegevensbescherming).</w:t>
      </w:r>
    </w:p>
    <w:p w14:paraId="1777CBCA" w14:textId="77777777" w:rsidR="00223876" w:rsidRDefault="00223876" w:rsidP="00223876">
      <w:r>
        <w:t>De gegevens zullen worden gebruikt om de subsidieaanvragen te analyseren en om contact op te nemen met de projectenindieners.</w:t>
      </w:r>
    </w:p>
    <w:p w14:paraId="69D1B90E" w14:textId="267FFEB7" w:rsidR="00223876" w:rsidRDefault="00223876" w:rsidP="00223876">
      <w:r>
        <w:t>Hun verwerking berust op de wettelijke basis van de aan Innoviris toevertrouwde missie van openbaar belang en op de Ordonnantie</w:t>
      </w:r>
      <w:r w:rsidR="00C27B2C">
        <w:t>s</w:t>
      </w:r>
      <w:r>
        <w:t xml:space="preserve"> van 27 juli 2017</w:t>
      </w:r>
      <w:r w:rsidR="00C27B2C">
        <w:rPr>
          <w:rStyle w:val="Voetnootmarkering"/>
        </w:rPr>
        <w:footnoteReference w:id="2"/>
      </w:r>
      <w:r>
        <w:t xml:space="preserve"> </w:t>
      </w:r>
      <w:r w:rsidR="00C27B2C">
        <w:t>en hun uitvoeringsbesluiten</w:t>
      </w:r>
      <w:r w:rsidR="00C27B2C">
        <w:rPr>
          <w:rStyle w:val="Voetnootmarkering"/>
        </w:rPr>
        <w:footnoteReference w:id="3"/>
      </w:r>
      <w:r w:rsidR="00C27B2C">
        <w:t>.</w:t>
      </w:r>
    </w:p>
    <w:p w14:paraId="2DB54287" w14:textId="77777777" w:rsidR="00223876" w:rsidRDefault="00223876" w:rsidP="00223876">
      <w:r>
        <w:t>Er worden geen gegevens met derden gedeeld zonder voorafgaande toestemming van de betrokkene, tenzij Innoviris hiertoe wettelijk verplicht is. De bewaartermijn is de tijd die nodig is om de doelstellingen van de betrokken verwerking te bereiken. Indien de kandidate niet wordt geselecteerd, verbindt Innoviris zich ertoe de door de kandidate verstrekte gegevens zo snel mogelijk te verwijderen.</w:t>
      </w:r>
    </w:p>
    <w:p w14:paraId="1DC5F2DC" w14:textId="77777777" w:rsidR="00223876" w:rsidRDefault="00223876" w:rsidP="00223876">
      <w:r>
        <w:t xml:space="preserve">Heb je vragen of wil je je rechten toepassen, neem dan contact op met onze DPO: </w:t>
      </w:r>
      <w:proofErr w:type="spellStart"/>
      <w:r>
        <w:t>dpo@innoviris.brussels</w:t>
      </w:r>
      <w:proofErr w:type="spellEnd"/>
      <w:r>
        <w:t xml:space="preserve"> of raadpleeg de rubriek 'Privacy' op onze website.</w:t>
      </w:r>
    </w:p>
    <w:p w14:paraId="4E02B624" w14:textId="77777777" w:rsidR="00223876" w:rsidRDefault="00223876" w:rsidP="00223876">
      <w:pPr>
        <w:pStyle w:val="Style1"/>
      </w:pPr>
      <w:r>
        <w:t>Aanvaarding van het reglement</w:t>
      </w:r>
    </w:p>
    <w:p w14:paraId="59126336" w14:textId="1925A24F" w:rsidR="00223876" w:rsidRDefault="00223876" w:rsidP="00223876">
      <w:r>
        <w:t>De indiening van een kandidatuur geldt als aanvaarding van dit reglement, dat niet kan worden betwist.</w:t>
      </w:r>
    </w:p>
    <w:p w14:paraId="749B4D53" w14:textId="77777777" w:rsidR="004633B1" w:rsidRDefault="004633B1"/>
    <w:sectPr w:rsidR="004633B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46399" w14:textId="77777777" w:rsidR="006F0626" w:rsidRDefault="006F0626" w:rsidP="006F0626">
      <w:pPr>
        <w:spacing w:after="0" w:line="240" w:lineRule="auto"/>
      </w:pPr>
      <w:r>
        <w:separator/>
      </w:r>
    </w:p>
  </w:endnote>
  <w:endnote w:type="continuationSeparator" w:id="0">
    <w:p w14:paraId="48E811FF" w14:textId="77777777" w:rsidR="006F0626" w:rsidRDefault="006F0626" w:rsidP="006F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72F35" w14:textId="77777777" w:rsidR="006F0626" w:rsidRDefault="006F0626" w:rsidP="006F0626">
      <w:pPr>
        <w:spacing w:after="0" w:line="240" w:lineRule="auto"/>
      </w:pPr>
      <w:r>
        <w:separator/>
      </w:r>
    </w:p>
  </w:footnote>
  <w:footnote w:type="continuationSeparator" w:id="0">
    <w:p w14:paraId="7D307A95" w14:textId="77777777" w:rsidR="006F0626" w:rsidRDefault="006F0626" w:rsidP="006F0626">
      <w:pPr>
        <w:spacing w:after="0" w:line="240" w:lineRule="auto"/>
      </w:pPr>
      <w:r>
        <w:continuationSeparator/>
      </w:r>
    </w:p>
  </w:footnote>
  <w:footnote w:id="1">
    <w:p w14:paraId="4949942B" w14:textId="2C2A957B" w:rsidR="00CC5C7C" w:rsidRPr="00CC5C7C" w:rsidRDefault="00CC5C7C">
      <w:pPr>
        <w:pStyle w:val="Voetnoottekst"/>
      </w:pPr>
      <w:r>
        <w:rPr>
          <w:rStyle w:val="Voetnootmarkering"/>
        </w:rPr>
        <w:footnoteRef/>
      </w:r>
      <w:r>
        <w:t xml:space="preserve"> </w:t>
      </w:r>
      <w:r w:rsidRPr="00C27B2C">
        <w:t>U vindt ze hier : https://innoviris.brussels/nl/documents/algemene-boekhoudkundige-richtlijnen-2021</w:t>
      </w:r>
    </w:p>
  </w:footnote>
  <w:footnote w:id="2">
    <w:p w14:paraId="6816DF57" w14:textId="77777777" w:rsidR="00C27B2C" w:rsidRDefault="00C27B2C" w:rsidP="00C27B2C">
      <w:pPr>
        <w:pStyle w:val="Voetnoottekst"/>
      </w:pPr>
      <w:r>
        <w:rPr>
          <w:rStyle w:val="Voetnootmarkering"/>
        </w:rPr>
        <w:footnoteRef/>
      </w:r>
      <w:r>
        <w:t xml:space="preserve"> </w:t>
      </w:r>
      <w:r>
        <w:t>Verordening van 27 juli 2017 tot bevordering van onderzoek, ontwikkeling en innovatie door verlening van steun voor economische doeleinden aan ondernemingen en met ondernemingen gelijkgestelde onderzoeksorganisaties; Verordening van 27 juli 2017 tot bevordering van onderzoek, ontwikkeling en innovatie door verlening van steun voor niet-economische doeleinden aan niet-marktorganisaties, onderzoeksorganisaties en ondernemingen</w:t>
      </w:r>
    </w:p>
    <w:p w14:paraId="6EEA2A19" w14:textId="1FD83313" w:rsidR="00C27B2C" w:rsidRPr="00C27B2C" w:rsidRDefault="00C27B2C" w:rsidP="00C27B2C">
      <w:pPr>
        <w:pStyle w:val="Voetnoottekst"/>
        <w:rPr>
          <w:lang w:val="nl-BE"/>
        </w:rPr>
      </w:pPr>
    </w:p>
  </w:footnote>
  <w:footnote w:id="3">
    <w:p w14:paraId="437F9C94" w14:textId="77777777" w:rsidR="00C27B2C" w:rsidRDefault="00C27B2C" w:rsidP="00C27B2C">
      <w:pPr>
        <w:pStyle w:val="Voetnoottekst"/>
      </w:pPr>
      <w:r>
        <w:rPr>
          <w:rStyle w:val="Voetnootmarkering"/>
        </w:rPr>
        <w:footnoteRef/>
      </w:r>
      <w:r>
        <w:t xml:space="preserve"> </w:t>
      </w:r>
      <w:r>
        <w:t>Besluit van 21 februari 2019 van de Brusselse Hoofdstedelijke Regering houdende uitvoering van het besluit van 27 juli 2017 tot bevordering van onderzoek, ontwikkeling en innovatie door de toekenning van steun met een economisch doel aan ondernemingen en met ondernemingen gelijkgestelde onderzoeksinstellingen ; Besluit van 21 februari 2019 van de Brusselse Hoofdstedelijke Regering houdende uitvoering van het besluit van 27 juli 2017 tot bevordering van onderzoek, ontwikkeling en innovatie door de toekenning van steun voor niet-economische doeleinden ten gunste van niet-commerciële organisaties, onderzoeksinstellingen en ondernemingen</w:t>
      </w:r>
    </w:p>
    <w:p w14:paraId="6A85BB2F" w14:textId="26F9479D" w:rsidR="00C27B2C" w:rsidRPr="00C27B2C" w:rsidRDefault="00C27B2C" w:rsidP="00C27B2C">
      <w:pPr>
        <w:pStyle w:val="Voetnoottekst"/>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6E842" w14:textId="76998E34" w:rsidR="006F0626" w:rsidRDefault="006F0626">
    <w:pPr>
      <w:pStyle w:val="Koptekst"/>
    </w:pPr>
    <w:r>
      <w:rPr>
        <w:noProof/>
      </w:rPr>
      <w:drawing>
        <wp:anchor distT="0" distB="0" distL="114300" distR="114300" simplePos="0" relativeHeight="251659264" behindDoc="0" locked="0" layoutInCell="1" allowOverlap="1" wp14:anchorId="7BF15567" wp14:editId="762BDC23">
          <wp:simplePos x="0" y="0"/>
          <wp:positionH relativeFrom="margin">
            <wp:align>left</wp:align>
          </wp:positionH>
          <wp:positionV relativeFrom="paragraph">
            <wp:posOffset>-451485</wp:posOffset>
          </wp:positionV>
          <wp:extent cx="1811483" cy="922020"/>
          <wp:effectExtent l="0" t="0" r="0" b="0"/>
          <wp:wrapTopAndBottom/>
          <wp:docPr id="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WORD.jpg"/>
                  <pic:cNvPicPr>
                    <a:picLocks noChangeAspect="1"/>
                  </pic:cNvPicPr>
                </pic:nvPicPr>
                <pic:blipFill>
                  <a:blip r:embed="rId1"/>
                  <a:srcRect b="23739"/>
                  <a:stretch/>
                </pic:blipFill>
                <pic:spPr bwMode="auto">
                  <a:xfrm>
                    <a:off x="0" y="0"/>
                    <a:ext cx="1811483" cy="92202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DFA"/>
    <w:multiLevelType w:val="hybridMultilevel"/>
    <w:tmpl w:val="092AFCD6"/>
    <w:lvl w:ilvl="0" w:tplc="24DC8DC6">
      <w:start w:val="1"/>
      <w:numFmt w:val="bullet"/>
      <w:lvlText w:val=""/>
      <w:lvlJc w:val="left"/>
      <w:pPr>
        <w:ind w:left="720" w:hanging="360"/>
      </w:pPr>
      <w:rPr>
        <w:rFonts w:ascii="Symbol" w:hAnsi="Symbol" w:hint="default"/>
      </w:rPr>
    </w:lvl>
    <w:lvl w:ilvl="1" w:tplc="7CD6C02A">
      <w:start w:val="1"/>
      <w:numFmt w:val="bullet"/>
      <w:lvlText w:val="o"/>
      <w:lvlJc w:val="left"/>
      <w:pPr>
        <w:ind w:left="1440" w:hanging="360"/>
      </w:pPr>
      <w:rPr>
        <w:rFonts w:ascii="Courier New" w:hAnsi="Courier New" w:cs="Courier New" w:hint="default"/>
      </w:rPr>
    </w:lvl>
    <w:lvl w:ilvl="2" w:tplc="A64A07B6">
      <w:start w:val="1"/>
      <w:numFmt w:val="bullet"/>
      <w:lvlText w:val=""/>
      <w:lvlJc w:val="left"/>
      <w:pPr>
        <w:ind w:left="2160" w:hanging="360"/>
      </w:pPr>
      <w:rPr>
        <w:rFonts w:ascii="Wingdings" w:hAnsi="Wingdings" w:hint="default"/>
      </w:rPr>
    </w:lvl>
    <w:lvl w:ilvl="3" w:tplc="39BC4190">
      <w:start w:val="1"/>
      <w:numFmt w:val="bullet"/>
      <w:lvlText w:val=""/>
      <w:lvlJc w:val="left"/>
      <w:pPr>
        <w:ind w:left="2880" w:hanging="360"/>
      </w:pPr>
      <w:rPr>
        <w:rFonts w:ascii="Symbol" w:hAnsi="Symbol" w:hint="default"/>
      </w:rPr>
    </w:lvl>
    <w:lvl w:ilvl="4" w:tplc="A1389364">
      <w:start w:val="1"/>
      <w:numFmt w:val="bullet"/>
      <w:lvlText w:val="o"/>
      <w:lvlJc w:val="left"/>
      <w:pPr>
        <w:ind w:left="3600" w:hanging="360"/>
      </w:pPr>
      <w:rPr>
        <w:rFonts w:ascii="Courier New" w:hAnsi="Courier New" w:cs="Courier New" w:hint="default"/>
      </w:rPr>
    </w:lvl>
    <w:lvl w:ilvl="5" w:tplc="FDF097A4">
      <w:start w:val="1"/>
      <w:numFmt w:val="bullet"/>
      <w:lvlText w:val=""/>
      <w:lvlJc w:val="left"/>
      <w:pPr>
        <w:ind w:left="4320" w:hanging="360"/>
      </w:pPr>
      <w:rPr>
        <w:rFonts w:ascii="Wingdings" w:hAnsi="Wingdings" w:hint="default"/>
      </w:rPr>
    </w:lvl>
    <w:lvl w:ilvl="6" w:tplc="D668E52C">
      <w:start w:val="1"/>
      <w:numFmt w:val="bullet"/>
      <w:lvlText w:val=""/>
      <w:lvlJc w:val="left"/>
      <w:pPr>
        <w:ind w:left="5040" w:hanging="360"/>
      </w:pPr>
      <w:rPr>
        <w:rFonts w:ascii="Symbol" w:hAnsi="Symbol" w:hint="default"/>
      </w:rPr>
    </w:lvl>
    <w:lvl w:ilvl="7" w:tplc="5366D324">
      <w:start w:val="1"/>
      <w:numFmt w:val="bullet"/>
      <w:lvlText w:val="o"/>
      <w:lvlJc w:val="left"/>
      <w:pPr>
        <w:ind w:left="5760" w:hanging="360"/>
      </w:pPr>
      <w:rPr>
        <w:rFonts w:ascii="Courier New" w:hAnsi="Courier New" w:cs="Courier New" w:hint="default"/>
      </w:rPr>
    </w:lvl>
    <w:lvl w:ilvl="8" w:tplc="C180CBD4">
      <w:start w:val="1"/>
      <w:numFmt w:val="bullet"/>
      <w:lvlText w:val=""/>
      <w:lvlJc w:val="left"/>
      <w:pPr>
        <w:ind w:left="6480" w:hanging="360"/>
      </w:pPr>
      <w:rPr>
        <w:rFonts w:ascii="Wingdings" w:hAnsi="Wingdings" w:hint="default"/>
      </w:rPr>
    </w:lvl>
  </w:abstractNum>
  <w:abstractNum w:abstractNumId="1" w15:restartNumberingAfterBreak="0">
    <w:nsid w:val="04851BBB"/>
    <w:multiLevelType w:val="hybridMultilevel"/>
    <w:tmpl w:val="0D7CD4E0"/>
    <w:lvl w:ilvl="0" w:tplc="1060A0D8">
      <w:start w:val="1"/>
      <w:numFmt w:val="bullet"/>
      <w:lvlText w:val=""/>
      <w:lvlJc w:val="left"/>
      <w:pPr>
        <w:ind w:left="1068" w:hanging="360"/>
      </w:pPr>
      <w:rPr>
        <w:rFonts w:ascii="Symbol" w:hAnsi="Symbol" w:hint="default"/>
      </w:rPr>
    </w:lvl>
    <w:lvl w:ilvl="1" w:tplc="188E7A6E">
      <w:start w:val="1"/>
      <w:numFmt w:val="bullet"/>
      <w:lvlText w:val="o"/>
      <w:lvlJc w:val="left"/>
      <w:pPr>
        <w:ind w:left="1788" w:hanging="360"/>
      </w:pPr>
      <w:rPr>
        <w:rFonts w:ascii="Courier New" w:hAnsi="Courier New" w:cs="Courier New" w:hint="default"/>
      </w:rPr>
    </w:lvl>
    <w:lvl w:ilvl="2" w:tplc="52F4C4EE">
      <w:start w:val="1"/>
      <w:numFmt w:val="bullet"/>
      <w:lvlText w:val=""/>
      <w:lvlJc w:val="left"/>
      <w:pPr>
        <w:ind w:left="2508" w:hanging="360"/>
      </w:pPr>
      <w:rPr>
        <w:rFonts w:ascii="Wingdings" w:hAnsi="Wingdings" w:hint="default"/>
      </w:rPr>
    </w:lvl>
    <w:lvl w:ilvl="3" w:tplc="7B365EE8">
      <w:start w:val="1"/>
      <w:numFmt w:val="bullet"/>
      <w:lvlText w:val=""/>
      <w:lvlJc w:val="left"/>
      <w:pPr>
        <w:ind w:left="3228" w:hanging="360"/>
      </w:pPr>
      <w:rPr>
        <w:rFonts w:ascii="Symbol" w:hAnsi="Symbol" w:hint="default"/>
      </w:rPr>
    </w:lvl>
    <w:lvl w:ilvl="4" w:tplc="843A4914">
      <w:start w:val="1"/>
      <w:numFmt w:val="bullet"/>
      <w:lvlText w:val="o"/>
      <w:lvlJc w:val="left"/>
      <w:pPr>
        <w:ind w:left="3948" w:hanging="360"/>
      </w:pPr>
      <w:rPr>
        <w:rFonts w:ascii="Courier New" w:hAnsi="Courier New" w:cs="Courier New" w:hint="default"/>
      </w:rPr>
    </w:lvl>
    <w:lvl w:ilvl="5" w:tplc="DA9AFF44">
      <w:start w:val="1"/>
      <w:numFmt w:val="bullet"/>
      <w:lvlText w:val=""/>
      <w:lvlJc w:val="left"/>
      <w:pPr>
        <w:ind w:left="4668" w:hanging="360"/>
      </w:pPr>
      <w:rPr>
        <w:rFonts w:ascii="Wingdings" w:hAnsi="Wingdings" w:hint="default"/>
      </w:rPr>
    </w:lvl>
    <w:lvl w:ilvl="6" w:tplc="795E9A4C">
      <w:start w:val="1"/>
      <w:numFmt w:val="bullet"/>
      <w:lvlText w:val=""/>
      <w:lvlJc w:val="left"/>
      <w:pPr>
        <w:ind w:left="5388" w:hanging="360"/>
      </w:pPr>
      <w:rPr>
        <w:rFonts w:ascii="Symbol" w:hAnsi="Symbol" w:hint="default"/>
      </w:rPr>
    </w:lvl>
    <w:lvl w:ilvl="7" w:tplc="F6DC16B6">
      <w:start w:val="1"/>
      <w:numFmt w:val="bullet"/>
      <w:lvlText w:val="o"/>
      <w:lvlJc w:val="left"/>
      <w:pPr>
        <w:ind w:left="6108" w:hanging="360"/>
      </w:pPr>
      <w:rPr>
        <w:rFonts w:ascii="Courier New" w:hAnsi="Courier New" w:cs="Courier New" w:hint="default"/>
      </w:rPr>
    </w:lvl>
    <w:lvl w:ilvl="8" w:tplc="A7A60BFE">
      <w:start w:val="1"/>
      <w:numFmt w:val="bullet"/>
      <w:lvlText w:val=""/>
      <w:lvlJc w:val="left"/>
      <w:pPr>
        <w:ind w:left="6828" w:hanging="360"/>
      </w:pPr>
      <w:rPr>
        <w:rFonts w:ascii="Wingdings" w:hAnsi="Wingdings" w:hint="default"/>
      </w:rPr>
    </w:lvl>
  </w:abstractNum>
  <w:abstractNum w:abstractNumId="2" w15:restartNumberingAfterBreak="0">
    <w:nsid w:val="17746D71"/>
    <w:multiLevelType w:val="hybridMultilevel"/>
    <w:tmpl w:val="C3122A3A"/>
    <w:lvl w:ilvl="0" w:tplc="3CEEF2B2">
      <w:start w:val="1"/>
      <w:numFmt w:val="bullet"/>
      <w:lvlText w:val=""/>
      <w:lvlJc w:val="left"/>
      <w:pPr>
        <w:ind w:left="720" w:hanging="360"/>
      </w:pPr>
      <w:rPr>
        <w:rFonts w:ascii="Symbol" w:hAnsi="Symbol" w:hint="default"/>
      </w:rPr>
    </w:lvl>
    <w:lvl w:ilvl="1" w:tplc="2288252E">
      <w:start w:val="1"/>
      <w:numFmt w:val="bullet"/>
      <w:lvlText w:val="o"/>
      <w:lvlJc w:val="left"/>
      <w:pPr>
        <w:ind w:left="1440" w:hanging="360"/>
      </w:pPr>
      <w:rPr>
        <w:rFonts w:ascii="Courier New" w:hAnsi="Courier New" w:cs="Courier New" w:hint="default"/>
      </w:rPr>
    </w:lvl>
    <w:lvl w:ilvl="2" w:tplc="A692C72A">
      <w:start w:val="1"/>
      <w:numFmt w:val="bullet"/>
      <w:lvlText w:val=""/>
      <w:lvlJc w:val="left"/>
      <w:pPr>
        <w:ind w:left="2160" w:hanging="360"/>
      </w:pPr>
      <w:rPr>
        <w:rFonts w:ascii="Wingdings" w:hAnsi="Wingdings" w:hint="default"/>
      </w:rPr>
    </w:lvl>
    <w:lvl w:ilvl="3" w:tplc="3F56330E">
      <w:start w:val="1"/>
      <w:numFmt w:val="bullet"/>
      <w:lvlText w:val=""/>
      <w:lvlJc w:val="left"/>
      <w:pPr>
        <w:ind w:left="2880" w:hanging="360"/>
      </w:pPr>
      <w:rPr>
        <w:rFonts w:ascii="Symbol" w:hAnsi="Symbol" w:hint="default"/>
      </w:rPr>
    </w:lvl>
    <w:lvl w:ilvl="4" w:tplc="EBF8308C">
      <w:start w:val="1"/>
      <w:numFmt w:val="bullet"/>
      <w:lvlText w:val="o"/>
      <w:lvlJc w:val="left"/>
      <w:pPr>
        <w:ind w:left="3600" w:hanging="360"/>
      </w:pPr>
      <w:rPr>
        <w:rFonts w:ascii="Courier New" w:hAnsi="Courier New" w:cs="Courier New" w:hint="default"/>
      </w:rPr>
    </w:lvl>
    <w:lvl w:ilvl="5" w:tplc="F656E89C">
      <w:start w:val="1"/>
      <w:numFmt w:val="bullet"/>
      <w:lvlText w:val=""/>
      <w:lvlJc w:val="left"/>
      <w:pPr>
        <w:ind w:left="4320" w:hanging="360"/>
      </w:pPr>
      <w:rPr>
        <w:rFonts w:ascii="Wingdings" w:hAnsi="Wingdings" w:hint="default"/>
      </w:rPr>
    </w:lvl>
    <w:lvl w:ilvl="6" w:tplc="3614FD14">
      <w:start w:val="1"/>
      <w:numFmt w:val="bullet"/>
      <w:lvlText w:val=""/>
      <w:lvlJc w:val="left"/>
      <w:pPr>
        <w:ind w:left="5040" w:hanging="360"/>
      </w:pPr>
      <w:rPr>
        <w:rFonts w:ascii="Symbol" w:hAnsi="Symbol" w:hint="default"/>
      </w:rPr>
    </w:lvl>
    <w:lvl w:ilvl="7" w:tplc="78ACBA5A">
      <w:start w:val="1"/>
      <w:numFmt w:val="bullet"/>
      <w:lvlText w:val="o"/>
      <w:lvlJc w:val="left"/>
      <w:pPr>
        <w:ind w:left="5760" w:hanging="360"/>
      </w:pPr>
      <w:rPr>
        <w:rFonts w:ascii="Courier New" w:hAnsi="Courier New" w:cs="Courier New" w:hint="default"/>
      </w:rPr>
    </w:lvl>
    <w:lvl w:ilvl="8" w:tplc="C03AEA48">
      <w:start w:val="1"/>
      <w:numFmt w:val="bullet"/>
      <w:lvlText w:val=""/>
      <w:lvlJc w:val="left"/>
      <w:pPr>
        <w:ind w:left="6480" w:hanging="360"/>
      </w:pPr>
      <w:rPr>
        <w:rFonts w:ascii="Wingdings" w:hAnsi="Wingdings" w:hint="default"/>
      </w:rPr>
    </w:lvl>
  </w:abstractNum>
  <w:abstractNum w:abstractNumId="3" w15:restartNumberingAfterBreak="0">
    <w:nsid w:val="32C61EA7"/>
    <w:multiLevelType w:val="multilevel"/>
    <w:tmpl w:val="BF90A7A2"/>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B9D370A"/>
    <w:multiLevelType w:val="hybridMultilevel"/>
    <w:tmpl w:val="46CA2C80"/>
    <w:lvl w:ilvl="0" w:tplc="FF24B578">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76"/>
    <w:rsid w:val="000829A0"/>
    <w:rsid w:val="00223876"/>
    <w:rsid w:val="004633B1"/>
    <w:rsid w:val="00575DFF"/>
    <w:rsid w:val="00663FCE"/>
    <w:rsid w:val="006A5F89"/>
    <w:rsid w:val="006F0626"/>
    <w:rsid w:val="006F1257"/>
    <w:rsid w:val="008B16A9"/>
    <w:rsid w:val="00A95CCE"/>
    <w:rsid w:val="00C27B2C"/>
    <w:rsid w:val="00CC5C7C"/>
    <w:rsid w:val="00EC2C1B"/>
    <w:rsid w:val="00F80F4C"/>
    <w:rsid w:val="00FA74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65F6"/>
  <w15:chartTrackingRefBased/>
  <w15:docId w15:val="{464CC017-699D-4A0F-B3F9-26CE42E6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876"/>
    <w:pPr>
      <w:pBdr>
        <w:top w:val="none" w:sz="4" w:space="0" w:color="000000"/>
        <w:left w:val="none" w:sz="4" w:space="0" w:color="000000"/>
        <w:bottom w:val="none" w:sz="4" w:space="0" w:color="000000"/>
        <w:right w:val="none" w:sz="4" w:space="0" w:color="000000"/>
        <w:between w:val="none" w:sz="4" w:space="0" w:color="000000"/>
      </w:pBdr>
      <w:spacing w:after="200" w:line="276" w:lineRule="auto"/>
      <w:jc w:val="both"/>
    </w:pPr>
    <w:rPr>
      <w:rFonts w:ascii="Calibri" w:eastAsia="Calibri" w:hAnsi="Calibri" w:cs="Times New Roman"/>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23876"/>
    <w:pPr>
      <w:ind w:left="720"/>
      <w:contextualSpacing/>
    </w:pPr>
  </w:style>
  <w:style w:type="character" w:styleId="Hyperlink">
    <w:name w:val="Hyperlink"/>
    <w:uiPriority w:val="99"/>
    <w:unhideWhenUsed/>
    <w:rsid w:val="00223876"/>
    <w:rPr>
      <w:color w:val="0000FF"/>
      <w:u w:val="single"/>
    </w:rPr>
  </w:style>
  <w:style w:type="character" w:styleId="Verwijzingopmerking">
    <w:name w:val="annotation reference"/>
    <w:basedOn w:val="Standaardalinea-lettertype"/>
    <w:uiPriority w:val="99"/>
    <w:semiHidden/>
    <w:unhideWhenUsed/>
    <w:rsid w:val="00223876"/>
    <w:rPr>
      <w:sz w:val="16"/>
      <w:szCs w:val="16"/>
    </w:rPr>
  </w:style>
  <w:style w:type="paragraph" w:styleId="Tekstopmerking">
    <w:name w:val="annotation text"/>
    <w:basedOn w:val="Standaard"/>
    <w:link w:val="TekstopmerkingChar"/>
    <w:uiPriority w:val="99"/>
    <w:unhideWhenUsed/>
    <w:rsid w:val="00223876"/>
    <w:pPr>
      <w:spacing w:line="240" w:lineRule="auto"/>
    </w:pPr>
    <w:rPr>
      <w:sz w:val="20"/>
      <w:szCs w:val="20"/>
    </w:rPr>
  </w:style>
  <w:style w:type="character" w:customStyle="1" w:styleId="TekstopmerkingChar">
    <w:name w:val="Tekst opmerking Char"/>
    <w:basedOn w:val="Standaardalinea-lettertype"/>
    <w:link w:val="Tekstopmerking"/>
    <w:uiPriority w:val="99"/>
    <w:rsid w:val="00223876"/>
    <w:rPr>
      <w:rFonts w:ascii="Calibri" w:eastAsia="Calibri" w:hAnsi="Calibri" w:cs="Times New Roman"/>
      <w:sz w:val="20"/>
      <w:szCs w:val="20"/>
      <w:lang w:val="nl-NL"/>
    </w:rPr>
  </w:style>
  <w:style w:type="paragraph" w:styleId="Titel">
    <w:name w:val="Title"/>
    <w:basedOn w:val="Standaard"/>
    <w:next w:val="Standaard"/>
    <w:link w:val="TitelChar"/>
    <w:uiPriority w:val="10"/>
    <w:qFormat/>
    <w:rsid w:val="00223876"/>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sid w:val="00223876"/>
    <w:rPr>
      <w:rFonts w:ascii="Calibri Light" w:eastAsia="Calibri Light" w:hAnsi="Calibri Light" w:cs="Calibri Light"/>
      <w:b/>
      <w:color w:val="4046C1"/>
      <w:spacing w:val="-10"/>
      <w:sz w:val="40"/>
      <w:szCs w:val="40"/>
      <w:lang w:val="nl-NL"/>
    </w:rPr>
  </w:style>
  <w:style w:type="paragraph" w:customStyle="1" w:styleId="Style1">
    <w:name w:val="Style1"/>
    <w:basedOn w:val="Lijstalinea"/>
    <w:link w:val="Style1Car"/>
    <w:qFormat/>
    <w:rsid w:val="00223876"/>
    <w:pPr>
      <w:numPr>
        <w:numId w:val="1"/>
      </w:numPr>
      <w:spacing w:before="240" w:after="240" w:line="240" w:lineRule="auto"/>
    </w:pPr>
    <w:rPr>
      <w:b/>
      <w:color w:val="4046C1"/>
      <w:sz w:val="32"/>
      <w:szCs w:val="32"/>
    </w:rPr>
  </w:style>
  <w:style w:type="paragraph" w:customStyle="1" w:styleId="Style2">
    <w:name w:val="Style2"/>
    <w:basedOn w:val="Style1"/>
    <w:qFormat/>
    <w:rsid w:val="00223876"/>
    <w:pPr>
      <w:keepNext/>
      <w:numPr>
        <w:ilvl w:val="1"/>
      </w:numPr>
    </w:pPr>
    <w:rPr>
      <w:b w:val="0"/>
      <w:bCs/>
      <w:sz w:val="28"/>
      <w:szCs w:val="28"/>
    </w:rPr>
  </w:style>
  <w:style w:type="character" w:customStyle="1" w:styleId="LijstalineaChar">
    <w:name w:val="Lijstalinea Char"/>
    <w:basedOn w:val="Standaardalinea-lettertype"/>
    <w:link w:val="Lijstalinea"/>
    <w:uiPriority w:val="34"/>
    <w:rsid w:val="00223876"/>
    <w:rPr>
      <w:rFonts w:ascii="Calibri" w:eastAsia="Calibri" w:hAnsi="Calibri" w:cs="Times New Roman"/>
      <w:sz w:val="24"/>
      <w:szCs w:val="24"/>
      <w:lang w:val="nl-NL"/>
    </w:rPr>
  </w:style>
  <w:style w:type="character" w:customStyle="1" w:styleId="Style1Car">
    <w:name w:val="Style1 Car"/>
    <w:basedOn w:val="LijstalineaChar"/>
    <w:link w:val="Style1"/>
    <w:rsid w:val="00223876"/>
    <w:rPr>
      <w:rFonts w:ascii="Calibri" w:eastAsia="Calibri" w:hAnsi="Calibri" w:cs="Times New Roman"/>
      <w:b/>
      <w:color w:val="4046C1"/>
      <w:sz w:val="32"/>
      <w:szCs w:val="32"/>
      <w:lang w:val="nl-NL"/>
    </w:rPr>
  </w:style>
  <w:style w:type="paragraph" w:customStyle="1" w:styleId="Lijstalinea1">
    <w:name w:val="Lijstalinea1"/>
    <w:basedOn w:val="Standaard"/>
    <w:link w:val="Lijstalinea1Car"/>
    <w:uiPriority w:val="34"/>
    <w:qFormat/>
    <w:rsid w:val="00223876"/>
    <w:pPr>
      <w:ind w:left="720"/>
      <w:contextualSpacing/>
      <w:jc w:val="left"/>
    </w:pPr>
    <w:rPr>
      <w:sz w:val="22"/>
      <w:szCs w:val="22"/>
      <w:lang w:eastAsia="zh-CN"/>
    </w:rPr>
  </w:style>
  <w:style w:type="character" w:customStyle="1" w:styleId="Lijstalinea1Car">
    <w:name w:val="Lijstalinea1 Car"/>
    <w:basedOn w:val="Standaardalinea-lettertype"/>
    <w:link w:val="Lijstalinea1"/>
    <w:uiPriority w:val="34"/>
    <w:rsid w:val="00223876"/>
    <w:rPr>
      <w:rFonts w:ascii="Calibri" w:eastAsia="Calibri" w:hAnsi="Calibri" w:cs="Times New Roman"/>
      <w:lang w:val="nl-NL" w:eastAsia="zh-CN"/>
    </w:rPr>
  </w:style>
  <w:style w:type="paragraph" w:styleId="Ballontekst">
    <w:name w:val="Balloon Text"/>
    <w:basedOn w:val="Standaard"/>
    <w:link w:val="BallontekstChar"/>
    <w:uiPriority w:val="99"/>
    <w:semiHidden/>
    <w:unhideWhenUsed/>
    <w:rsid w:val="002238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23876"/>
    <w:rPr>
      <w:rFonts w:ascii="Segoe UI" w:eastAsia="Calibri" w:hAnsi="Segoe UI" w:cs="Segoe UI"/>
      <w:sz w:val="18"/>
      <w:szCs w:val="18"/>
      <w:lang w:val="nl-NL"/>
    </w:rPr>
  </w:style>
  <w:style w:type="paragraph" w:styleId="Koptekst">
    <w:name w:val="header"/>
    <w:basedOn w:val="Standaard"/>
    <w:link w:val="KoptekstChar"/>
    <w:uiPriority w:val="99"/>
    <w:unhideWhenUsed/>
    <w:rsid w:val="006F06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0626"/>
    <w:rPr>
      <w:rFonts w:ascii="Calibri" w:eastAsia="Calibri" w:hAnsi="Calibri" w:cs="Times New Roman"/>
      <w:sz w:val="24"/>
      <w:szCs w:val="24"/>
      <w:lang w:val="nl-NL"/>
    </w:rPr>
  </w:style>
  <w:style w:type="paragraph" w:styleId="Voettekst">
    <w:name w:val="footer"/>
    <w:basedOn w:val="Standaard"/>
    <w:link w:val="VoettekstChar"/>
    <w:uiPriority w:val="99"/>
    <w:unhideWhenUsed/>
    <w:rsid w:val="006F06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0626"/>
    <w:rPr>
      <w:rFonts w:ascii="Calibri" w:eastAsia="Calibri" w:hAnsi="Calibri" w:cs="Times New Roman"/>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6A5F89"/>
    <w:rPr>
      <w:b/>
      <w:bCs/>
    </w:rPr>
  </w:style>
  <w:style w:type="character" w:customStyle="1" w:styleId="OnderwerpvanopmerkingChar">
    <w:name w:val="Onderwerp van opmerking Char"/>
    <w:basedOn w:val="TekstopmerkingChar"/>
    <w:link w:val="Onderwerpvanopmerking"/>
    <w:uiPriority w:val="99"/>
    <w:semiHidden/>
    <w:rsid w:val="006A5F89"/>
    <w:rPr>
      <w:rFonts w:ascii="Calibri" w:eastAsia="Calibri" w:hAnsi="Calibri" w:cs="Times New Roman"/>
      <w:b/>
      <w:bCs/>
      <w:sz w:val="20"/>
      <w:szCs w:val="20"/>
      <w:lang w:val="nl-NL"/>
    </w:rPr>
  </w:style>
  <w:style w:type="paragraph" w:styleId="Voetnoottekst">
    <w:name w:val="footnote text"/>
    <w:basedOn w:val="Standaard"/>
    <w:link w:val="VoetnoottekstChar"/>
    <w:uiPriority w:val="99"/>
    <w:semiHidden/>
    <w:unhideWhenUsed/>
    <w:rsid w:val="00CC5C7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C5C7C"/>
    <w:rPr>
      <w:rFonts w:ascii="Calibri" w:eastAsia="Calibri" w:hAnsi="Calibri" w:cs="Times New Roman"/>
      <w:sz w:val="20"/>
      <w:szCs w:val="20"/>
      <w:lang w:val="nl-NL"/>
    </w:rPr>
  </w:style>
  <w:style w:type="character" w:styleId="Voetnootmarkering">
    <w:name w:val="footnote reference"/>
    <w:basedOn w:val="Standaardalinea-lettertype"/>
    <w:uiPriority w:val="99"/>
    <w:semiHidden/>
    <w:unhideWhenUsed/>
    <w:rsid w:val="00CC5C7C"/>
    <w:rPr>
      <w:vertAlign w:val="superscript"/>
    </w:rPr>
  </w:style>
  <w:style w:type="character" w:styleId="Onopgelostemelding">
    <w:name w:val="Unresolved Mention"/>
    <w:basedOn w:val="Standaardalinea-lettertype"/>
    <w:uiPriority w:val="99"/>
    <w:semiHidden/>
    <w:unhideWhenUsed/>
    <w:rsid w:val="00CC5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35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invoicing@innoviris.brussels" TargetMode="External"/><Relationship Id="rId4" Type="http://schemas.openxmlformats.org/officeDocument/2006/relationships/settings" Target="settings.xml"/><Relationship Id="rId9" Type="http://schemas.openxmlformats.org/officeDocument/2006/relationships/hyperlink" Target="mailto:reporting@innoviris.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7C63-D51B-477F-B799-B91B20C8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1411</Words>
  <Characters>7764</Characters>
  <Application>Microsoft Office Word</Application>
  <DocSecurity>0</DocSecurity>
  <Lines>64</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Ceuleers</dc:creator>
  <cp:keywords/>
  <dc:description/>
  <cp:lastModifiedBy>Evy Ceuleers</cp:lastModifiedBy>
  <cp:revision>7</cp:revision>
  <dcterms:created xsi:type="dcterms:W3CDTF">2021-01-04T13:09:00Z</dcterms:created>
  <dcterms:modified xsi:type="dcterms:W3CDTF">2021-02-17T13:49:00Z</dcterms:modified>
</cp:coreProperties>
</file>